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640" w:rsidRDefault="00000700">
      <w:pPr>
        <w:spacing w:before="5" w:line="412" w:lineRule="exact"/>
        <w:textAlignment w:val="baseline"/>
        <w:rPr>
          <w:rFonts w:ascii="Arial" w:eastAsia="Arial" w:hAnsi="Arial"/>
          <w:b/>
          <w:color w:val="000000"/>
          <w:sz w:val="36"/>
          <w:lang w:val="de-DE"/>
        </w:rPr>
      </w:pPr>
      <w:bookmarkStart w:id="0" w:name="_GoBack"/>
      <w:bookmarkEnd w:id="0"/>
      <w:r>
        <w:rPr>
          <w:rFonts w:ascii="Arial" w:eastAsia="Arial" w:hAnsi="Arial"/>
          <w:b/>
          <w:color w:val="000000"/>
          <w:sz w:val="36"/>
          <w:lang w:val="de-DE"/>
        </w:rPr>
        <w:t>Straßenverkehrsgesetz</w:t>
      </w:r>
    </w:p>
    <w:p w:rsidR="003F5640" w:rsidRDefault="00000700">
      <w:pPr>
        <w:spacing w:before="550" w:line="273" w:lineRule="exact"/>
        <w:textAlignment w:val="baseline"/>
        <w:rPr>
          <w:rFonts w:ascii="Arial" w:eastAsia="Arial" w:hAnsi="Arial"/>
          <w:b/>
          <w:color w:val="000000"/>
          <w:sz w:val="24"/>
          <w:lang w:val="de-DE"/>
        </w:rPr>
      </w:pPr>
      <w:r>
        <w:rPr>
          <w:rFonts w:ascii="Arial" w:eastAsia="Arial" w:hAnsi="Arial"/>
          <w:b/>
          <w:color w:val="000000"/>
          <w:sz w:val="24"/>
          <w:lang w:val="de-DE"/>
        </w:rPr>
        <w:t>§ 24a StVG [0,5 Promille-Grenze]</w:t>
      </w:r>
    </w:p>
    <w:p w:rsidR="003F5640" w:rsidRDefault="00000700">
      <w:pPr>
        <w:numPr>
          <w:ilvl w:val="0"/>
          <w:numId w:val="1"/>
        </w:numPr>
        <w:spacing w:before="437" w:line="276" w:lineRule="exact"/>
        <w:ind w:left="432" w:hanging="432"/>
        <w:jc w:val="both"/>
        <w:textAlignment w:val="baseline"/>
        <w:rPr>
          <w:rFonts w:ascii="Arial" w:eastAsia="Arial" w:hAnsi="Arial"/>
          <w:color w:val="000000"/>
          <w:sz w:val="24"/>
          <w:lang w:val="de-DE"/>
        </w:rPr>
      </w:pPr>
      <w:r>
        <w:rPr>
          <w:rFonts w:ascii="Arial" w:eastAsia="Arial" w:hAnsi="Arial"/>
          <w:color w:val="000000"/>
          <w:sz w:val="24"/>
          <w:lang w:val="de-DE"/>
        </w:rPr>
        <w:t>Ordnungswidrig handelt, wer im Straßenverkehr ein Kraftfahrzeug führt, obwohl er 0,25 mg/l oder mehr Alkohol in der Atemluft oder 0,5 Promille oder mehr Alkohol im Blut oder eine Alkoholmenge im Körper hat, die zu einer solchen Atem- oder Blutalkoholkonzen</w:t>
      </w:r>
      <w:r>
        <w:rPr>
          <w:rFonts w:ascii="Arial" w:eastAsia="Arial" w:hAnsi="Arial"/>
          <w:color w:val="000000"/>
          <w:sz w:val="24"/>
          <w:lang w:val="de-DE"/>
        </w:rPr>
        <w:t>tration führt.</w:t>
      </w:r>
    </w:p>
    <w:p w:rsidR="003F5640" w:rsidRDefault="00000700">
      <w:pPr>
        <w:numPr>
          <w:ilvl w:val="0"/>
          <w:numId w:val="1"/>
        </w:numPr>
        <w:spacing w:before="432" w:line="276" w:lineRule="exact"/>
        <w:ind w:left="432" w:hanging="432"/>
        <w:jc w:val="both"/>
        <w:textAlignment w:val="baseline"/>
        <w:rPr>
          <w:rFonts w:ascii="Arial" w:eastAsia="Arial" w:hAnsi="Arial"/>
          <w:color w:val="000000"/>
          <w:sz w:val="24"/>
          <w:lang w:val="de-DE"/>
        </w:rPr>
      </w:pPr>
      <w:r>
        <w:rPr>
          <w:rFonts w:ascii="Arial" w:eastAsia="Arial" w:hAnsi="Arial"/>
          <w:color w:val="000000"/>
          <w:sz w:val="24"/>
          <w:lang w:val="de-DE"/>
        </w:rPr>
        <w:t xml:space="preserve">Ordnungswidrig handelt, wer unter der Wirkung eines in der Anlage zu dieser Vorschrift genannten berauschenden Mittels im Straßenverkehr ein Kraftfahrzeug führt. Eine solche Wirkung liegt vor, wenn eine in dieser Anlage genannte Substanz im </w:t>
      </w:r>
      <w:r>
        <w:rPr>
          <w:rFonts w:ascii="Arial" w:eastAsia="Arial" w:hAnsi="Arial"/>
          <w:color w:val="000000"/>
          <w:sz w:val="24"/>
          <w:lang w:val="de-DE"/>
        </w:rPr>
        <w:t>Blut nachgewiesen wird. Satz 1 gilt nicht, wenn die Substanz aus der bestimmungsgemäßen Einnahme eines für einen konkreten Krankheitsfall verschriebenen Arzneimittels herrührt.</w:t>
      </w:r>
    </w:p>
    <w:p w:rsidR="003F5640" w:rsidRDefault="00000700">
      <w:pPr>
        <w:numPr>
          <w:ilvl w:val="0"/>
          <w:numId w:val="1"/>
        </w:numPr>
        <w:spacing w:before="300" w:line="276" w:lineRule="exact"/>
        <w:ind w:left="432" w:hanging="432"/>
        <w:jc w:val="both"/>
        <w:textAlignment w:val="baseline"/>
        <w:rPr>
          <w:rFonts w:ascii="Arial" w:eastAsia="Arial" w:hAnsi="Arial"/>
          <w:color w:val="000000"/>
          <w:sz w:val="24"/>
          <w:lang w:val="de-DE"/>
        </w:rPr>
      </w:pPr>
      <w:r>
        <w:rPr>
          <w:rFonts w:ascii="Arial" w:eastAsia="Arial" w:hAnsi="Arial"/>
          <w:color w:val="000000"/>
          <w:sz w:val="24"/>
          <w:lang w:val="de-DE"/>
        </w:rPr>
        <w:t>Ordnungswidrig handelt auch, wer die Tat fahrlässig begeht.</w:t>
      </w:r>
    </w:p>
    <w:p w:rsidR="003F5640" w:rsidRDefault="00000700">
      <w:pPr>
        <w:numPr>
          <w:ilvl w:val="0"/>
          <w:numId w:val="1"/>
        </w:numPr>
        <w:spacing w:before="298" w:line="276" w:lineRule="exact"/>
        <w:ind w:left="432" w:hanging="432"/>
        <w:jc w:val="both"/>
        <w:textAlignment w:val="baseline"/>
        <w:rPr>
          <w:rFonts w:ascii="Arial" w:eastAsia="Arial" w:hAnsi="Arial"/>
          <w:color w:val="000000"/>
          <w:sz w:val="24"/>
          <w:lang w:val="de-DE"/>
        </w:rPr>
      </w:pPr>
      <w:r>
        <w:rPr>
          <w:rFonts w:ascii="Arial" w:eastAsia="Arial" w:hAnsi="Arial"/>
          <w:color w:val="000000"/>
          <w:sz w:val="24"/>
          <w:lang w:val="de-DE"/>
        </w:rPr>
        <w:t>Die Ordnungswidrigk</w:t>
      </w:r>
      <w:r>
        <w:rPr>
          <w:rFonts w:ascii="Arial" w:eastAsia="Arial" w:hAnsi="Arial"/>
          <w:color w:val="000000"/>
          <w:sz w:val="24"/>
          <w:lang w:val="de-DE"/>
        </w:rPr>
        <w:t>eit kann mit einer Geldbuße bis zu dreitausend Euro geahndet werden.</w:t>
      </w:r>
    </w:p>
    <w:p w:rsidR="003F5640" w:rsidRDefault="00000700">
      <w:pPr>
        <w:numPr>
          <w:ilvl w:val="0"/>
          <w:numId w:val="1"/>
        </w:numPr>
        <w:spacing w:before="305" w:line="276" w:lineRule="exact"/>
        <w:ind w:left="432" w:hanging="432"/>
        <w:jc w:val="both"/>
        <w:textAlignment w:val="baseline"/>
        <w:rPr>
          <w:rFonts w:ascii="Arial" w:eastAsia="Arial" w:hAnsi="Arial"/>
          <w:color w:val="000000"/>
          <w:sz w:val="24"/>
          <w:lang w:val="de-DE"/>
        </w:rPr>
      </w:pPr>
      <w:r>
        <w:rPr>
          <w:rFonts w:ascii="Arial" w:eastAsia="Arial" w:hAnsi="Arial"/>
          <w:color w:val="000000"/>
          <w:sz w:val="24"/>
          <w:lang w:val="de-DE"/>
        </w:rPr>
        <w:t>Das Bundesministerium für Verkehr und digitale Infrastruktur wird ermächtigt, durch Rechtsverordnung im Einvernehmen mit dem Bundesministerium für Gesundheit und Soziale Sicherung und dem</w:t>
      </w:r>
      <w:r>
        <w:rPr>
          <w:rFonts w:ascii="Arial" w:eastAsia="Arial" w:hAnsi="Arial"/>
          <w:color w:val="000000"/>
          <w:sz w:val="24"/>
          <w:lang w:val="de-DE"/>
        </w:rPr>
        <w:t xml:space="preserve"> Bundesministerium der Justiz und für Verbraucherschutz mit Zustimmung des Bundesrates die Liste der berauschenden Mittel und Substanzen in der Anlage zu dieser Vorschrift zu ändern oder zu ergänzen, wenn dies nach wissenschaftlicher Erkenntnis im Hinblick</w:t>
      </w:r>
      <w:r>
        <w:rPr>
          <w:rFonts w:ascii="Arial" w:eastAsia="Arial" w:hAnsi="Arial"/>
          <w:color w:val="000000"/>
          <w:sz w:val="24"/>
          <w:lang w:val="de-DE"/>
        </w:rPr>
        <w:t xml:space="preserve"> auf die Sicherheit des Straßenverkehrs erforderlich ist.</w:t>
      </w:r>
    </w:p>
    <w:p w:rsidR="003F5640" w:rsidRDefault="00000700">
      <w:pPr>
        <w:spacing w:before="711" w:line="273" w:lineRule="exact"/>
        <w:textAlignment w:val="baseline"/>
        <w:rPr>
          <w:rFonts w:ascii="Arial" w:eastAsia="Arial" w:hAnsi="Arial"/>
          <w:b/>
          <w:color w:val="000000"/>
          <w:sz w:val="24"/>
          <w:lang w:val="de-DE"/>
        </w:rPr>
      </w:pPr>
      <w:r>
        <w:rPr>
          <w:rFonts w:ascii="Arial" w:eastAsia="Arial" w:hAnsi="Arial"/>
          <w:b/>
          <w:color w:val="000000"/>
          <w:sz w:val="24"/>
          <w:lang w:val="de-DE"/>
        </w:rPr>
        <w:t>Anlage zu § 24a StVG</w:t>
      </w:r>
    </w:p>
    <w:p w:rsidR="003F5640" w:rsidRDefault="00000700">
      <w:pPr>
        <w:spacing w:before="2" w:line="276" w:lineRule="exact"/>
        <w:textAlignment w:val="baseline"/>
        <w:rPr>
          <w:rFonts w:ascii="Arial" w:eastAsia="Arial" w:hAnsi="Arial"/>
          <w:color w:val="000000"/>
          <w:sz w:val="24"/>
          <w:lang w:val="de-DE"/>
        </w:rPr>
      </w:pPr>
      <w:r>
        <w:rPr>
          <w:rFonts w:ascii="Arial" w:eastAsia="Arial" w:hAnsi="Arial"/>
          <w:color w:val="000000"/>
          <w:sz w:val="24"/>
          <w:lang w:val="de-DE"/>
        </w:rPr>
        <w:t>Liste der berauschenden Mittel und Substanzen</w:t>
      </w:r>
    </w:p>
    <w:p w:rsidR="003F5640" w:rsidRDefault="00000700">
      <w:pPr>
        <w:tabs>
          <w:tab w:val="left" w:pos="3528"/>
        </w:tabs>
        <w:spacing w:before="553" w:line="273" w:lineRule="exact"/>
        <w:textAlignment w:val="baseline"/>
        <w:rPr>
          <w:rFonts w:ascii="Arial" w:eastAsia="Arial" w:hAnsi="Arial"/>
          <w:b/>
          <w:color w:val="000000"/>
          <w:sz w:val="24"/>
          <w:lang w:val="de-DE"/>
        </w:rPr>
      </w:pPr>
      <w:r>
        <w:rPr>
          <w:rFonts w:ascii="Arial" w:eastAsia="Arial" w:hAnsi="Arial"/>
          <w:b/>
          <w:color w:val="000000"/>
          <w:sz w:val="24"/>
          <w:lang w:val="de-DE"/>
        </w:rPr>
        <w:t>Berauschende Mittel</w:t>
      </w:r>
      <w:r>
        <w:rPr>
          <w:rFonts w:ascii="Arial" w:eastAsia="Arial" w:hAnsi="Arial"/>
          <w:b/>
          <w:color w:val="000000"/>
          <w:sz w:val="24"/>
          <w:lang w:val="de-DE"/>
        </w:rPr>
        <w:tab/>
        <w:t>Substanzen</w:t>
      </w:r>
    </w:p>
    <w:p w:rsidR="003F5640" w:rsidRDefault="00000700">
      <w:pPr>
        <w:tabs>
          <w:tab w:val="left" w:pos="3528"/>
        </w:tabs>
        <w:spacing w:before="276" w:line="276" w:lineRule="exact"/>
        <w:textAlignment w:val="baseline"/>
        <w:rPr>
          <w:rFonts w:ascii="Arial" w:eastAsia="Arial" w:hAnsi="Arial"/>
          <w:color w:val="000000"/>
          <w:sz w:val="24"/>
          <w:lang w:val="de-DE"/>
        </w:rPr>
      </w:pPr>
      <w:r>
        <w:rPr>
          <w:rFonts w:ascii="Arial" w:eastAsia="Arial" w:hAnsi="Arial"/>
          <w:color w:val="000000"/>
          <w:sz w:val="24"/>
          <w:lang w:val="de-DE"/>
        </w:rPr>
        <w:t>Cannabis</w:t>
      </w:r>
      <w:r>
        <w:rPr>
          <w:rFonts w:ascii="Arial" w:eastAsia="Arial" w:hAnsi="Arial"/>
          <w:color w:val="000000"/>
          <w:sz w:val="24"/>
          <w:lang w:val="de-DE"/>
        </w:rPr>
        <w:tab/>
      </w:r>
      <w:proofErr w:type="spellStart"/>
      <w:r>
        <w:rPr>
          <w:rFonts w:ascii="Arial" w:eastAsia="Arial" w:hAnsi="Arial"/>
          <w:color w:val="000000"/>
          <w:sz w:val="24"/>
          <w:lang w:val="de-DE"/>
        </w:rPr>
        <w:t>Tetrahydocannabinol</w:t>
      </w:r>
      <w:proofErr w:type="spellEnd"/>
      <w:r>
        <w:rPr>
          <w:rFonts w:ascii="Arial" w:eastAsia="Arial" w:hAnsi="Arial"/>
          <w:color w:val="000000"/>
          <w:sz w:val="24"/>
          <w:lang w:val="de-DE"/>
        </w:rPr>
        <w:t xml:space="preserve"> (THC)</w:t>
      </w:r>
    </w:p>
    <w:p w:rsidR="003F5640" w:rsidRPr="00000700" w:rsidRDefault="00000700">
      <w:pPr>
        <w:tabs>
          <w:tab w:val="left" w:pos="3528"/>
        </w:tabs>
        <w:spacing w:before="2" w:line="276" w:lineRule="exact"/>
        <w:textAlignment w:val="baseline"/>
        <w:rPr>
          <w:rFonts w:ascii="Arial" w:eastAsia="Arial" w:hAnsi="Arial"/>
          <w:color w:val="000000"/>
          <w:sz w:val="24"/>
        </w:rPr>
      </w:pPr>
      <w:r w:rsidRPr="00000700">
        <w:rPr>
          <w:rFonts w:ascii="Arial" w:eastAsia="Arial" w:hAnsi="Arial"/>
          <w:color w:val="000000"/>
          <w:sz w:val="24"/>
        </w:rPr>
        <w:t>Heroin</w:t>
      </w:r>
      <w:r w:rsidRPr="00000700">
        <w:rPr>
          <w:rFonts w:ascii="Arial" w:eastAsia="Arial" w:hAnsi="Arial"/>
          <w:color w:val="000000"/>
          <w:sz w:val="24"/>
        </w:rPr>
        <w:tab/>
        <w:t>Morphin</w:t>
      </w:r>
    </w:p>
    <w:p w:rsidR="003F5640" w:rsidRPr="00000700" w:rsidRDefault="00000700">
      <w:pPr>
        <w:tabs>
          <w:tab w:val="left" w:pos="3528"/>
        </w:tabs>
        <w:spacing w:line="274" w:lineRule="exact"/>
        <w:textAlignment w:val="baseline"/>
        <w:rPr>
          <w:rFonts w:ascii="Arial" w:eastAsia="Arial" w:hAnsi="Arial"/>
          <w:color w:val="000000"/>
          <w:sz w:val="24"/>
        </w:rPr>
      </w:pPr>
      <w:r w:rsidRPr="00000700">
        <w:rPr>
          <w:rFonts w:ascii="Arial" w:eastAsia="Arial" w:hAnsi="Arial"/>
          <w:color w:val="000000"/>
          <w:sz w:val="24"/>
        </w:rPr>
        <w:t>Morphin</w:t>
      </w:r>
      <w:r w:rsidRPr="00000700">
        <w:rPr>
          <w:rFonts w:ascii="Arial" w:eastAsia="Arial" w:hAnsi="Arial"/>
          <w:color w:val="000000"/>
          <w:sz w:val="24"/>
        </w:rPr>
        <w:tab/>
        <w:t>Morphin</w:t>
      </w:r>
    </w:p>
    <w:p w:rsidR="003F5640" w:rsidRPr="00000700" w:rsidRDefault="00000700">
      <w:pPr>
        <w:tabs>
          <w:tab w:val="left" w:pos="3528"/>
        </w:tabs>
        <w:spacing w:before="2" w:line="276" w:lineRule="exact"/>
        <w:textAlignment w:val="baseline"/>
        <w:rPr>
          <w:rFonts w:ascii="Arial" w:eastAsia="Arial" w:hAnsi="Arial"/>
          <w:color w:val="000000"/>
          <w:sz w:val="24"/>
        </w:rPr>
      </w:pPr>
      <w:r w:rsidRPr="00000700">
        <w:rPr>
          <w:rFonts w:ascii="Arial" w:eastAsia="Arial" w:hAnsi="Arial"/>
          <w:color w:val="000000"/>
          <w:sz w:val="24"/>
        </w:rPr>
        <w:t>Cocain</w:t>
      </w:r>
      <w:r w:rsidRPr="00000700">
        <w:rPr>
          <w:rFonts w:ascii="Arial" w:eastAsia="Arial" w:hAnsi="Arial"/>
          <w:color w:val="000000"/>
          <w:sz w:val="24"/>
        </w:rPr>
        <w:tab/>
        <w:t>Coca</w:t>
      </w:r>
    </w:p>
    <w:p w:rsidR="003F5640" w:rsidRPr="00000700" w:rsidRDefault="00000700">
      <w:pPr>
        <w:tabs>
          <w:tab w:val="left" w:pos="3528"/>
        </w:tabs>
        <w:spacing w:line="274" w:lineRule="exact"/>
        <w:textAlignment w:val="baseline"/>
        <w:rPr>
          <w:rFonts w:ascii="Arial" w:eastAsia="Arial" w:hAnsi="Arial"/>
          <w:color w:val="000000"/>
          <w:sz w:val="24"/>
        </w:rPr>
      </w:pPr>
      <w:r w:rsidRPr="00000700">
        <w:rPr>
          <w:rFonts w:ascii="Arial" w:eastAsia="Arial" w:hAnsi="Arial"/>
          <w:color w:val="000000"/>
          <w:sz w:val="24"/>
        </w:rPr>
        <w:t>Cocain</w:t>
      </w:r>
      <w:r w:rsidRPr="00000700">
        <w:rPr>
          <w:rFonts w:ascii="Arial" w:eastAsia="Arial" w:hAnsi="Arial"/>
          <w:color w:val="000000"/>
          <w:sz w:val="24"/>
        </w:rPr>
        <w:tab/>
        <w:t>Benzoylecgonin</w:t>
      </w:r>
    </w:p>
    <w:p w:rsidR="003F5640" w:rsidRPr="00000700" w:rsidRDefault="00000700">
      <w:pPr>
        <w:tabs>
          <w:tab w:val="left" w:pos="3528"/>
        </w:tabs>
        <w:spacing w:before="2" w:line="276" w:lineRule="exact"/>
        <w:textAlignment w:val="baseline"/>
        <w:rPr>
          <w:rFonts w:ascii="Arial" w:eastAsia="Arial" w:hAnsi="Arial"/>
          <w:color w:val="000000"/>
          <w:sz w:val="24"/>
        </w:rPr>
      </w:pPr>
      <w:r w:rsidRPr="00000700">
        <w:rPr>
          <w:rFonts w:ascii="Arial" w:eastAsia="Arial" w:hAnsi="Arial"/>
          <w:color w:val="000000"/>
          <w:sz w:val="24"/>
        </w:rPr>
        <w:t>Amfetamin</w:t>
      </w:r>
      <w:r w:rsidRPr="00000700">
        <w:rPr>
          <w:rFonts w:ascii="Arial" w:eastAsia="Arial" w:hAnsi="Arial"/>
          <w:color w:val="000000"/>
          <w:sz w:val="24"/>
        </w:rPr>
        <w:tab/>
        <w:t>Amfetamin</w:t>
      </w:r>
    </w:p>
    <w:p w:rsidR="003F5640" w:rsidRPr="00000700" w:rsidRDefault="00000700">
      <w:pPr>
        <w:tabs>
          <w:tab w:val="left" w:pos="3528"/>
        </w:tabs>
        <w:spacing w:line="274" w:lineRule="exact"/>
        <w:textAlignment w:val="baseline"/>
        <w:rPr>
          <w:rFonts w:ascii="Arial" w:eastAsia="Arial" w:hAnsi="Arial"/>
          <w:color w:val="000000"/>
          <w:sz w:val="24"/>
        </w:rPr>
      </w:pPr>
      <w:r w:rsidRPr="00000700">
        <w:rPr>
          <w:rFonts w:ascii="Arial" w:eastAsia="Arial" w:hAnsi="Arial"/>
          <w:color w:val="000000"/>
          <w:sz w:val="24"/>
        </w:rPr>
        <w:t>Designer-Amfetamin</w:t>
      </w:r>
      <w:r w:rsidRPr="00000700">
        <w:rPr>
          <w:rFonts w:ascii="Arial" w:eastAsia="Arial" w:hAnsi="Arial"/>
          <w:color w:val="000000"/>
          <w:sz w:val="24"/>
        </w:rPr>
        <w:tab/>
        <w:t>Methylendioxyamfetamin (MDA)</w:t>
      </w:r>
    </w:p>
    <w:p w:rsidR="003F5640" w:rsidRPr="00000700" w:rsidRDefault="00000700">
      <w:pPr>
        <w:tabs>
          <w:tab w:val="left" w:pos="3528"/>
        </w:tabs>
        <w:spacing w:before="2" w:line="276" w:lineRule="exact"/>
        <w:textAlignment w:val="baseline"/>
        <w:rPr>
          <w:rFonts w:ascii="Arial" w:eastAsia="Arial" w:hAnsi="Arial"/>
          <w:color w:val="000000"/>
          <w:sz w:val="24"/>
        </w:rPr>
      </w:pPr>
      <w:r w:rsidRPr="00000700">
        <w:rPr>
          <w:rFonts w:ascii="Arial" w:eastAsia="Arial" w:hAnsi="Arial"/>
          <w:color w:val="000000"/>
          <w:sz w:val="24"/>
        </w:rPr>
        <w:t>Designer-Amfetamin</w:t>
      </w:r>
      <w:r w:rsidRPr="00000700">
        <w:rPr>
          <w:rFonts w:ascii="Arial" w:eastAsia="Arial" w:hAnsi="Arial"/>
          <w:color w:val="000000"/>
          <w:sz w:val="24"/>
        </w:rPr>
        <w:tab/>
        <w:t>Methylendioxyethylamfetamin (MDE)</w:t>
      </w:r>
    </w:p>
    <w:p w:rsidR="003F5640" w:rsidRDefault="00000700">
      <w:pPr>
        <w:tabs>
          <w:tab w:val="left" w:pos="3528"/>
        </w:tabs>
        <w:spacing w:line="274" w:lineRule="exact"/>
        <w:textAlignment w:val="baseline"/>
        <w:rPr>
          <w:rFonts w:ascii="Arial" w:eastAsia="Arial" w:hAnsi="Arial"/>
          <w:color w:val="000000"/>
          <w:sz w:val="24"/>
          <w:lang w:val="de-DE"/>
        </w:rPr>
      </w:pPr>
      <w:r>
        <w:rPr>
          <w:rFonts w:ascii="Arial" w:eastAsia="Arial" w:hAnsi="Arial"/>
          <w:color w:val="000000"/>
          <w:sz w:val="24"/>
          <w:lang w:val="de-DE"/>
        </w:rPr>
        <w:t>Designer-</w:t>
      </w:r>
      <w:proofErr w:type="spellStart"/>
      <w:r>
        <w:rPr>
          <w:rFonts w:ascii="Arial" w:eastAsia="Arial" w:hAnsi="Arial"/>
          <w:color w:val="000000"/>
          <w:sz w:val="24"/>
          <w:lang w:val="de-DE"/>
        </w:rPr>
        <w:t>Amfetamin</w:t>
      </w:r>
      <w:proofErr w:type="spellEnd"/>
      <w:r>
        <w:rPr>
          <w:rFonts w:ascii="Arial" w:eastAsia="Arial" w:hAnsi="Arial"/>
          <w:color w:val="000000"/>
          <w:sz w:val="24"/>
          <w:lang w:val="de-DE"/>
        </w:rPr>
        <w:tab/>
      </w:r>
      <w:proofErr w:type="spellStart"/>
      <w:r>
        <w:rPr>
          <w:rFonts w:ascii="Arial" w:eastAsia="Arial" w:hAnsi="Arial"/>
          <w:color w:val="000000"/>
          <w:sz w:val="24"/>
          <w:lang w:val="de-DE"/>
        </w:rPr>
        <w:t>Methylendioxymethamfetamin</w:t>
      </w:r>
      <w:proofErr w:type="spellEnd"/>
      <w:r>
        <w:rPr>
          <w:rFonts w:ascii="Arial" w:eastAsia="Arial" w:hAnsi="Arial"/>
          <w:color w:val="000000"/>
          <w:sz w:val="24"/>
          <w:lang w:val="de-DE"/>
        </w:rPr>
        <w:t xml:space="preserve"> (MDMA)</w:t>
      </w:r>
    </w:p>
    <w:p w:rsidR="003F5640" w:rsidRDefault="00000700">
      <w:pPr>
        <w:tabs>
          <w:tab w:val="left" w:pos="3528"/>
        </w:tabs>
        <w:spacing w:before="2" w:line="266" w:lineRule="exact"/>
        <w:textAlignment w:val="baseline"/>
        <w:rPr>
          <w:rFonts w:ascii="Arial" w:eastAsia="Arial" w:hAnsi="Arial"/>
          <w:color w:val="000000"/>
          <w:sz w:val="24"/>
          <w:lang w:val="de-DE"/>
        </w:rPr>
      </w:pPr>
      <w:proofErr w:type="spellStart"/>
      <w:r>
        <w:rPr>
          <w:rFonts w:ascii="Arial" w:eastAsia="Arial" w:hAnsi="Arial"/>
          <w:color w:val="000000"/>
          <w:sz w:val="24"/>
          <w:lang w:val="de-DE"/>
        </w:rPr>
        <w:t>Metamfetamin</w:t>
      </w:r>
      <w:proofErr w:type="spellEnd"/>
      <w:r>
        <w:rPr>
          <w:rFonts w:ascii="Arial" w:eastAsia="Arial" w:hAnsi="Arial"/>
          <w:color w:val="000000"/>
          <w:sz w:val="24"/>
          <w:lang w:val="de-DE"/>
        </w:rPr>
        <w:tab/>
      </w:r>
      <w:proofErr w:type="spellStart"/>
      <w:r>
        <w:rPr>
          <w:rFonts w:ascii="Arial" w:eastAsia="Arial" w:hAnsi="Arial"/>
          <w:color w:val="000000"/>
          <w:sz w:val="24"/>
          <w:lang w:val="de-DE"/>
        </w:rPr>
        <w:t>Metamfetamin</w:t>
      </w:r>
      <w:proofErr w:type="spellEnd"/>
    </w:p>
    <w:p w:rsidR="003F5640" w:rsidRPr="00000700" w:rsidRDefault="003F5640">
      <w:pPr>
        <w:rPr>
          <w:lang w:val="de-DE"/>
        </w:rPr>
        <w:sectPr w:rsidR="003F5640" w:rsidRPr="00000700">
          <w:pgSz w:w="11909" w:h="16838"/>
          <w:pgMar w:top="1760" w:right="1400" w:bottom="1022" w:left="1469" w:header="720" w:footer="720" w:gutter="0"/>
          <w:cols w:space="720"/>
        </w:sectPr>
      </w:pPr>
    </w:p>
    <w:p w:rsidR="003F5640" w:rsidRDefault="00000700">
      <w:pPr>
        <w:spacing w:before="8" w:line="276" w:lineRule="exact"/>
        <w:textAlignment w:val="baseline"/>
        <w:rPr>
          <w:rFonts w:ascii="Arial" w:eastAsia="Arial" w:hAnsi="Arial"/>
          <w:b/>
          <w:color w:val="000000"/>
          <w:sz w:val="24"/>
          <w:lang w:val="de-DE"/>
        </w:rPr>
      </w:pPr>
      <w:r>
        <w:rPr>
          <w:rFonts w:ascii="Arial" w:eastAsia="Arial" w:hAnsi="Arial"/>
          <w:b/>
          <w:color w:val="000000"/>
          <w:sz w:val="24"/>
          <w:lang w:val="de-DE"/>
        </w:rPr>
        <w:lastRenderedPageBreak/>
        <w:t>§ 24c StVG [Alkoholverbot für Fahranfänger</w:t>
      </w:r>
      <w:r>
        <w:rPr>
          <w:rFonts w:ascii="Arial" w:eastAsia="Arial" w:hAnsi="Arial"/>
          <w:b/>
          <w:color w:val="000000"/>
          <w:sz w:val="24"/>
          <w:lang w:val="de-DE"/>
        </w:rPr>
        <w:t xml:space="preserve"> und Fahranfängerinnen]</w:t>
      </w:r>
    </w:p>
    <w:p w:rsidR="003F5640" w:rsidRDefault="00000700">
      <w:pPr>
        <w:numPr>
          <w:ilvl w:val="0"/>
          <w:numId w:val="2"/>
        </w:numPr>
        <w:tabs>
          <w:tab w:val="clear" w:pos="720"/>
          <w:tab w:val="left" w:pos="1080"/>
        </w:tabs>
        <w:spacing w:before="161" w:line="275" w:lineRule="exact"/>
        <w:ind w:left="1080" w:hanging="720"/>
        <w:jc w:val="both"/>
        <w:textAlignment w:val="baseline"/>
        <w:rPr>
          <w:rFonts w:ascii="Arial" w:eastAsia="Arial" w:hAnsi="Arial"/>
          <w:color w:val="000000"/>
          <w:sz w:val="24"/>
          <w:lang w:val="de-DE"/>
        </w:rPr>
      </w:pPr>
      <w:r>
        <w:rPr>
          <w:rFonts w:ascii="Arial" w:eastAsia="Arial" w:hAnsi="Arial"/>
          <w:color w:val="000000"/>
          <w:sz w:val="24"/>
          <w:lang w:val="de-DE"/>
        </w:rPr>
        <w:t>Ordnungswidrig handelt, wer in der Probezeit nach § 2a oder vor Vollendung des 21. Lebensjahres als Führer eines Kraftfahrzeuges im Straßenverkehr alkoholische Getränke zu sich nimmt oder die Fahrt an- tritt, obwohl er unter der Wir</w:t>
      </w:r>
      <w:r>
        <w:rPr>
          <w:rFonts w:ascii="Arial" w:eastAsia="Arial" w:hAnsi="Arial"/>
          <w:color w:val="000000"/>
          <w:sz w:val="24"/>
          <w:lang w:val="de-DE"/>
        </w:rPr>
        <w:t>kung eines solchen Getränks steht.</w:t>
      </w:r>
    </w:p>
    <w:p w:rsidR="003F5640" w:rsidRDefault="00000700">
      <w:pPr>
        <w:numPr>
          <w:ilvl w:val="0"/>
          <w:numId w:val="2"/>
        </w:numPr>
        <w:tabs>
          <w:tab w:val="clear" w:pos="720"/>
          <w:tab w:val="left" w:pos="1080"/>
        </w:tabs>
        <w:spacing w:before="278" w:line="274" w:lineRule="exact"/>
        <w:ind w:left="1080" w:hanging="720"/>
        <w:jc w:val="both"/>
        <w:textAlignment w:val="baseline"/>
        <w:rPr>
          <w:rFonts w:ascii="Arial" w:eastAsia="Arial" w:hAnsi="Arial"/>
          <w:color w:val="000000"/>
          <w:sz w:val="24"/>
          <w:lang w:val="de-DE"/>
        </w:rPr>
      </w:pPr>
      <w:r>
        <w:rPr>
          <w:rFonts w:ascii="Arial" w:eastAsia="Arial" w:hAnsi="Arial"/>
          <w:color w:val="000000"/>
          <w:sz w:val="24"/>
          <w:lang w:val="de-DE"/>
        </w:rPr>
        <w:t>Ordnungswidrig handelt auch, wer die Tat fahrlässig begeht.</w:t>
      </w:r>
    </w:p>
    <w:p w:rsidR="003F5640" w:rsidRDefault="00000700">
      <w:pPr>
        <w:numPr>
          <w:ilvl w:val="0"/>
          <w:numId w:val="2"/>
        </w:numPr>
        <w:tabs>
          <w:tab w:val="clear" w:pos="720"/>
          <w:tab w:val="left" w:pos="1080"/>
        </w:tabs>
        <w:spacing w:before="302" w:line="274" w:lineRule="exact"/>
        <w:ind w:left="1080" w:hanging="720"/>
        <w:jc w:val="both"/>
        <w:textAlignment w:val="baseline"/>
        <w:rPr>
          <w:rFonts w:ascii="Arial" w:eastAsia="Arial" w:hAnsi="Arial"/>
          <w:color w:val="000000"/>
          <w:sz w:val="24"/>
          <w:lang w:val="de-DE"/>
        </w:rPr>
      </w:pPr>
      <w:r>
        <w:rPr>
          <w:rFonts w:ascii="Arial" w:eastAsia="Arial" w:hAnsi="Arial"/>
          <w:color w:val="000000"/>
          <w:sz w:val="24"/>
          <w:lang w:val="de-DE"/>
        </w:rPr>
        <w:t>Die Ordnungswidrigkeit kann mit einer Geldbuße geahndet werden.</w:t>
      </w:r>
    </w:p>
    <w:p w:rsidR="003F5640" w:rsidRDefault="00000700">
      <w:pPr>
        <w:spacing w:before="436" w:line="276" w:lineRule="exact"/>
        <w:textAlignment w:val="baseline"/>
        <w:rPr>
          <w:rFonts w:ascii="Arial" w:eastAsia="Arial" w:hAnsi="Arial"/>
          <w:b/>
          <w:color w:val="000000"/>
          <w:sz w:val="24"/>
          <w:lang w:val="de-DE"/>
        </w:rPr>
      </w:pPr>
      <w:r>
        <w:rPr>
          <w:rFonts w:ascii="Arial" w:eastAsia="Arial" w:hAnsi="Arial"/>
          <w:b/>
          <w:color w:val="000000"/>
          <w:sz w:val="24"/>
          <w:lang w:val="de-DE"/>
        </w:rPr>
        <w:t>§ 25 StVG [Fahrverbot] (Auszug)</w:t>
      </w:r>
    </w:p>
    <w:p w:rsidR="003F5640" w:rsidRDefault="00000700">
      <w:pPr>
        <w:numPr>
          <w:ilvl w:val="0"/>
          <w:numId w:val="3"/>
        </w:numPr>
        <w:tabs>
          <w:tab w:val="clear" w:pos="720"/>
          <w:tab w:val="left" w:pos="1080"/>
        </w:tabs>
        <w:spacing w:before="440" w:line="276" w:lineRule="exact"/>
        <w:ind w:left="1080" w:hanging="720"/>
        <w:jc w:val="both"/>
        <w:textAlignment w:val="baseline"/>
        <w:rPr>
          <w:rFonts w:ascii="Arial" w:eastAsia="Arial" w:hAnsi="Arial"/>
          <w:color w:val="000000"/>
          <w:sz w:val="24"/>
          <w:lang w:val="de-DE"/>
        </w:rPr>
      </w:pPr>
      <w:r>
        <w:rPr>
          <w:rFonts w:ascii="Arial" w:eastAsia="Arial" w:hAnsi="Arial"/>
          <w:color w:val="000000"/>
          <w:sz w:val="24"/>
          <w:lang w:val="de-DE"/>
        </w:rPr>
        <w:t>Wird gegen den Betroffenen wegen einer Ordnungswidrigkeit nach § 24, die er unter grober oder beharrlicher Verletzung der Pflichten eines Kraftfahrers begangen hat, eine Geldbuße festgesetzt, so kann ihm die Verwaltungsbehörde oder das Gericht in der Bußge</w:t>
      </w:r>
      <w:r>
        <w:rPr>
          <w:rFonts w:ascii="Arial" w:eastAsia="Arial" w:hAnsi="Arial"/>
          <w:color w:val="000000"/>
          <w:sz w:val="24"/>
          <w:lang w:val="de-DE"/>
        </w:rPr>
        <w:t xml:space="preserve">ldentscheidung für die Dauer von einem Monat bis zu drei Monaten verbieten, im Straßenverkehr Kraftfahrzeuge jeder oder einer bestimmten Art zu führen. Wird gegen den Betroffenen wegen einer Ordnungswidrigkeit nach § 24a, eine Geldbuße festgesetzt, so ist </w:t>
      </w:r>
      <w:r>
        <w:rPr>
          <w:rFonts w:ascii="Arial" w:eastAsia="Arial" w:hAnsi="Arial"/>
          <w:color w:val="000000"/>
          <w:sz w:val="24"/>
          <w:lang w:val="de-DE"/>
        </w:rPr>
        <w:t>in der Regel auch ein Fahrverbot anzuordnen.</w:t>
      </w:r>
    </w:p>
    <w:p w:rsidR="003F5640" w:rsidRDefault="00000700">
      <w:pPr>
        <w:numPr>
          <w:ilvl w:val="0"/>
          <w:numId w:val="3"/>
        </w:numPr>
        <w:tabs>
          <w:tab w:val="clear" w:pos="720"/>
          <w:tab w:val="left" w:pos="1080"/>
        </w:tabs>
        <w:spacing w:before="269" w:line="283" w:lineRule="exact"/>
        <w:ind w:left="1080" w:hanging="720"/>
        <w:jc w:val="both"/>
        <w:textAlignment w:val="baseline"/>
        <w:rPr>
          <w:rFonts w:ascii="Arial" w:eastAsia="Arial" w:hAnsi="Arial"/>
          <w:color w:val="000000"/>
          <w:sz w:val="24"/>
          <w:lang w:val="de-DE"/>
        </w:rPr>
      </w:pPr>
      <w:r>
        <w:rPr>
          <w:rFonts w:ascii="Arial" w:eastAsia="Arial" w:hAnsi="Arial"/>
          <w:color w:val="000000"/>
          <w:sz w:val="24"/>
          <w:lang w:val="de-DE"/>
        </w:rPr>
        <w:t xml:space="preserve">Das Fahrverbot wird mit der Rechtskraft der Bußgeldentscheidung wirksam. </w:t>
      </w:r>
      <w:r>
        <w:rPr>
          <w:rFonts w:ascii="Arial" w:eastAsia="Arial" w:hAnsi="Arial"/>
          <w:color w:val="000000"/>
          <w:sz w:val="26"/>
          <w:lang w:val="de-DE"/>
        </w:rPr>
        <w:t>...</w:t>
      </w:r>
    </w:p>
    <w:p w:rsidR="003F5640" w:rsidRDefault="00000700">
      <w:pPr>
        <w:spacing w:before="153" w:line="274" w:lineRule="exact"/>
        <w:ind w:left="360"/>
        <w:textAlignment w:val="baseline"/>
        <w:rPr>
          <w:rFonts w:ascii="Arial" w:eastAsia="Arial" w:hAnsi="Arial"/>
          <w:color w:val="000000"/>
          <w:spacing w:val="-1"/>
          <w:sz w:val="24"/>
          <w:lang w:val="de-DE"/>
        </w:rPr>
      </w:pPr>
      <w:r>
        <w:rPr>
          <w:rFonts w:ascii="Arial" w:eastAsia="Arial" w:hAnsi="Arial"/>
          <w:color w:val="000000"/>
          <w:spacing w:val="-1"/>
          <w:sz w:val="24"/>
          <w:lang w:val="de-DE"/>
        </w:rPr>
        <w:t>(2</w:t>
      </w:r>
      <w:proofErr w:type="gramStart"/>
      <w:r>
        <w:rPr>
          <w:rFonts w:ascii="Arial" w:eastAsia="Arial" w:hAnsi="Arial"/>
          <w:color w:val="000000"/>
          <w:spacing w:val="-1"/>
          <w:sz w:val="24"/>
          <w:lang w:val="de-DE"/>
        </w:rPr>
        <w:t>a)...</w:t>
      </w:r>
      <w:proofErr w:type="gramEnd"/>
      <w:r>
        <w:rPr>
          <w:rFonts w:ascii="Arial" w:eastAsia="Arial" w:hAnsi="Arial"/>
          <w:color w:val="000000"/>
          <w:spacing w:val="-1"/>
          <w:sz w:val="24"/>
          <w:lang w:val="de-DE"/>
        </w:rPr>
        <w:t xml:space="preserve"> bis (8)</w:t>
      </w:r>
    </w:p>
    <w:sectPr w:rsidR="003F5640">
      <w:pgSz w:w="11909" w:h="16838"/>
      <w:pgMar w:top="2580" w:right="1403" w:bottom="6562" w:left="14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52E6B"/>
    <w:multiLevelType w:val="multilevel"/>
    <w:tmpl w:val="0DAE1602"/>
    <w:lvl w:ilvl="0">
      <w:start w:val="1"/>
      <w:numFmt w:val="decimal"/>
      <w:lvlText w:val="(%1)"/>
      <w:lvlJc w:val="left"/>
      <w:pPr>
        <w:tabs>
          <w:tab w:val="left" w:pos="720"/>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21914"/>
    <w:multiLevelType w:val="multilevel"/>
    <w:tmpl w:val="8C36737C"/>
    <w:lvl w:ilvl="0">
      <w:start w:val="1"/>
      <w:numFmt w:val="decimal"/>
      <w:lvlText w:val="(%1)"/>
      <w:lvlJc w:val="left"/>
      <w:pPr>
        <w:tabs>
          <w:tab w:val="left" w:pos="432"/>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B0199C"/>
    <w:multiLevelType w:val="multilevel"/>
    <w:tmpl w:val="3FB45AF8"/>
    <w:lvl w:ilvl="0">
      <w:start w:val="1"/>
      <w:numFmt w:val="decimal"/>
      <w:lvlText w:val="(%1)"/>
      <w:lvlJc w:val="left"/>
      <w:pPr>
        <w:tabs>
          <w:tab w:val="left" w:pos="720"/>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3F5640"/>
    <w:rsid w:val="00000700"/>
    <w:rsid w:val="003F5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86606-4886-4F59-A989-B28D14B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dc:creator>
  <cp:lastModifiedBy>BADS</cp:lastModifiedBy>
  <cp:revision>2</cp:revision>
  <dcterms:created xsi:type="dcterms:W3CDTF">2021-02-18T16:11:00Z</dcterms:created>
  <dcterms:modified xsi:type="dcterms:W3CDTF">2021-02-18T16:11:00Z</dcterms:modified>
</cp:coreProperties>
</file>